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51B8C" w14:textId="77777777" w:rsidR="00DE6917" w:rsidRDefault="00DE6917" w:rsidP="002B044E">
      <w:pPr>
        <w:spacing w:after="0" w:line="480" w:lineRule="auto"/>
        <w:ind w:firstLine="720"/>
        <w:jc w:val="both"/>
        <w:rPr>
          <w:rFonts w:ascii="Times New Roman" w:hAnsi="Times New Roman" w:cs="Times New Roman"/>
          <w:sz w:val="24"/>
          <w:szCs w:val="24"/>
        </w:rPr>
      </w:pPr>
    </w:p>
    <w:p w14:paraId="5778DD5F" w14:textId="77777777" w:rsidR="00DE6917" w:rsidRDefault="00DE6917" w:rsidP="00DE6917">
      <w:pPr>
        <w:jc w:val="center"/>
        <w:rPr>
          <w:rFonts w:ascii="Times New Roman" w:hAnsi="Times New Roman" w:cs="Times New Roman"/>
          <w:sz w:val="24"/>
          <w:szCs w:val="24"/>
        </w:rPr>
      </w:pPr>
    </w:p>
    <w:p w14:paraId="463DE61E" w14:textId="77777777" w:rsidR="00DE6917" w:rsidRDefault="00DE6917" w:rsidP="00DE6917">
      <w:pPr>
        <w:jc w:val="center"/>
        <w:rPr>
          <w:rFonts w:ascii="Times New Roman" w:hAnsi="Times New Roman" w:cs="Times New Roman"/>
          <w:sz w:val="24"/>
          <w:szCs w:val="24"/>
        </w:rPr>
      </w:pPr>
    </w:p>
    <w:p w14:paraId="74DFA9FF" w14:textId="77777777" w:rsidR="00DE6917" w:rsidRDefault="00DE6917" w:rsidP="00DE6917">
      <w:pPr>
        <w:jc w:val="center"/>
        <w:rPr>
          <w:rFonts w:ascii="Times New Roman" w:hAnsi="Times New Roman" w:cs="Times New Roman"/>
          <w:sz w:val="24"/>
          <w:szCs w:val="24"/>
        </w:rPr>
      </w:pPr>
    </w:p>
    <w:p w14:paraId="0F241057" w14:textId="77777777" w:rsidR="00DE6917" w:rsidRDefault="00DE6917" w:rsidP="00DE6917">
      <w:pPr>
        <w:jc w:val="center"/>
        <w:rPr>
          <w:rFonts w:ascii="Times New Roman" w:hAnsi="Times New Roman" w:cs="Times New Roman"/>
          <w:sz w:val="24"/>
          <w:szCs w:val="24"/>
        </w:rPr>
      </w:pPr>
    </w:p>
    <w:p w14:paraId="376A5DE1" w14:textId="77777777" w:rsidR="00DE6917" w:rsidRDefault="00DE6917" w:rsidP="00DE6917">
      <w:pPr>
        <w:jc w:val="center"/>
        <w:rPr>
          <w:rFonts w:ascii="Times New Roman" w:hAnsi="Times New Roman" w:cs="Times New Roman"/>
          <w:sz w:val="24"/>
          <w:szCs w:val="24"/>
        </w:rPr>
      </w:pPr>
    </w:p>
    <w:p w14:paraId="524C5F97" w14:textId="77777777" w:rsidR="00DE6917" w:rsidRDefault="00DE6917" w:rsidP="00DE6917">
      <w:pPr>
        <w:jc w:val="center"/>
        <w:rPr>
          <w:rFonts w:ascii="Times New Roman" w:hAnsi="Times New Roman" w:cs="Times New Roman"/>
          <w:sz w:val="24"/>
          <w:szCs w:val="24"/>
        </w:rPr>
      </w:pPr>
    </w:p>
    <w:p w14:paraId="1D31DC7A" w14:textId="77777777" w:rsidR="00DE6917" w:rsidRDefault="00DE6917" w:rsidP="00DE6917">
      <w:pPr>
        <w:jc w:val="center"/>
        <w:rPr>
          <w:rFonts w:ascii="Times New Roman" w:hAnsi="Times New Roman" w:cs="Times New Roman"/>
          <w:sz w:val="24"/>
          <w:szCs w:val="24"/>
        </w:rPr>
      </w:pPr>
    </w:p>
    <w:p w14:paraId="6E0C911B" w14:textId="77777777" w:rsidR="00DE6917" w:rsidRDefault="00DE6917" w:rsidP="00DE6917">
      <w:pPr>
        <w:jc w:val="center"/>
        <w:rPr>
          <w:rFonts w:ascii="Times New Roman" w:hAnsi="Times New Roman" w:cs="Times New Roman"/>
          <w:sz w:val="24"/>
          <w:szCs w:val="24"/>
        </w:rPr>
      </w:pPr>
    </w:p>
    <w:p w14:paraId="734632BB" w14:textId="1CE3E673"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PROJECT REVIEW AIA A102</w:t>
      </w:r>
    </w:p>
    <w:p w14:paraId="106E7C56"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STUDENT’S NAME</w:t>
      </w:r>
    </w:p>
    <w:p w14:paraId="47DCCB50"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INSTITUTIONAL AFFILIATION</w:t>
      </w:r>
    </w:p>
    <w:p w14:paraId="401AB4F8"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COURSE</w:t>
      </w:r>
    </w:p>
    <w:p w14:paraId="215D390B" w14:textId="5CE240FB" w:rsid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DATE</w:t>
      </w:r>
      <w:r>
        <w:rPr>
          <w:rFonts w:ascii="Times New Roman" w:hAnsi="Times New Roman" w:cs="Times New Roman"/>
          <w:sz w:val="24"/>
          <w:szCs w:val="24"/>
        </w:rPr>
        <w:br w:type="page"/>
      </w:r>
    </w:p>
    <w:p w14:paraId="46E45C3B" w14:textId="1D7EB7C8" w:rsidR="00FD6899" w:rsidRPr="002B044E" w:rsidRDefault="000424D6" w:rsidP="002B044E">
      <w:pPr>
        <w:spacing w:after="0" w:line="480" w:lineRule="auto"/>
        <w:ind w:firstLine="720"/>
        <w:jc w:val="both"/>
        <w:rPr>
          <w:rFonts w:ascii="Times New Roman" w:hAnsi="Times New Roman" w:cs="Times New Roman"/>
          <w:sz w:val="24"/>
          <w:szCs w:val="24"/>
        </w:rPr>
      </w:pPr>
      <w:r w:rsidRPr="002B044E">
        <w:rPr>
          <w:rFonts w:ascii="Times New Roman" w:hAnsi="Times New Roman" w:cs="Times New Roman"/>
          <w:sz w:val="24"/>
          <w:szCs w:val="24"/>
        </w:rPr>
        <w:lastRenderedPageBreak/>
        <w:t>In article 13 of the contract, the decision-making section was intentionally omitted out. This is a very technical section that needs to put everything clear and should not have been omitted. AIA provides a basic framework</w:t>
      </w:r>
      <w:bookmarkStart w:id="0" w:name="_GoBack"/>
      <w:bookmarkEnd w:id="0"/>
      <w:r w:rsidRPr="002B044E">
        <w:rPr>
          <w:rFonts w:ascii="Times New Roman" w:hAnsi="Times New Roman" w:cs="Times New Roman"/>
          <w:sz w:val="24"/>
          <w:szCs w:val="24"/>
        </w:rPr>
        <w:t xml:space="preserve"> and the use of IDM while </w:t>
      </w:r>
      <w:r w:rsidRPr="002B044E">
        <w:rPr>
          <w:rFonts w:ascii="Times New Roman" w:hAnsi="Times New Roman" w:cs="Times New Roman"/>
          <w:sz w:val="24"/>
          <w:szCs w:val="24"/>
        </w:rPr>
        <w:t>carrying out the projects.</w:t>
      </w:r>
    </w:p>
    <w:p w14:paraId="695A5824" w14:textId="31F3024F" w:rsidR="0089693B" w:rsidRPr="002B044E" w:rsidRDefault="000424D6" w:rsidP="002B044E">
      <w:pPr>
        <w:spacing w:after="0" w:line="480" w:lineRule="auto"/>
        <w:ind w:firstLine="720"/>
        <w:jc w:val="both"/>
        <w:rPr>
          <w:rFonts w:ascii="Times New Roman" w:hAnsi="Times New Roman" w:cs="Times New Roman"/>
          <w:sz w:val="24"/>
          <w:szCs w:val="24"/>
        </w:rPr>
      </w:pPr>
      <w:r w:rsidRPr="002B044E">
        <w:rPr>
          <w:rFonts w:ascii="Times New Roman" w:hAnsi="Times New Roman" w:cs="Times New Roman"/>
          <w:sz w:val="24"/>
          <w:szCs w:val="24"/>
        </w:rPr>
        <w:t xml:space="preserve">The two parties (Both the contractor and the owner) should enter a new contract with </w:t>
      </w:r>
      <w:r w:rsidR="002B044E" w:rsidRPr="002B044E">
        <w:rPr>
          <w:rFonts w:ascii="Times New Roman" w:hAnsi="Times New Roman" w:cs="Times New Roman"/>
          <w:sz w:val="24"/>
          <w:szCs w:val="24"/>
        </w:rPr>
        <w:t>consideration</w:t>
      </w:r>
      <w:r w:rsidRPr="002B044E">
        <w:rPr>
          <w:rFonts w:ascii="Times New Roman" w:hAnsi="Times New Roman" w:cs="Times New Roman"/>
          <w:sz w:val="24"/>
          <w:szCs w:val="24"/>
        </w:rPr>
        <w:t xml:space="preserve"> and specification of who is the initial deci</w:t>
      </w:r>
      <w:r w:rsidR="002B044E" w:rsidRPr="002B044E">
        <w:rPr>
          <w:rFonts w:ascii="Times New Roman" w:hAnsi="Times New Roman" w:cs="Times New Roman"/>
          <w:sz w:val="24"/>
          <w:szCs w:val="24"/>
        </w:rPr>
        <w:t>si</w:t>
      </w:r>
      <w:r w:rsidRPr="002B044E">
        <w:rPr>
          <w:rFonts w:ascii="Times New Roman" w:hAnsi="Times New Roman" w:cs="Times New Roman"/>
          <w:sz w:val="24"/>
          <w:szCs w:val="24"/>
        </w:rPr>
        <w:t>on-maker. They might decide to let the architect as the overall decision-maker becau</w:t>
      </w:r>
      <w:r w:rsidRPr="002B044E">
        <w:rPr>
          <w:rFonts w:ascii="Times New Roman" w:hAnsi="Times New Roman" w:cs="Times New Roman"/>
          <w:sz w:val="24"/>
          <w:szCs w:val="24"/>
        </w:rPr>
        <w:t xml:space="preserve">se they understand building maters more. More so, the person making the decision should have no direct contact with the contractor or the owner to avoid </w:t>
      </w:r>
      <w:r w:rsidR="002B044E" w:rsidRPr="002B044E">
        <w:rPr>
          <w:rFonts w:ascii="Times New Roman" w:hAnsi="Times New Roman" w:cs="Times New Roman"/>
          <w:sz w:val="24"/>
          <w:szCs w:val="24"/>
        </w:rPr>
        <w:t>unbiases</w:t>
      </w:r>
      <w:r w:rsidRPr="002B044E">
        <w:rPr>
          <w:rFonts w:ascii="Times New Roman" w:hAnsi="Times New Roman" w:cs="Times New Roman"/>
          <w:sz w:val="24"/>
          <w:szCs w:val="24"/>
        </w:rPr>
        <w:t>. This section should be captured in article 13 of AIA A102.</w:t>
      </w:r>
    </w:p>
    <w:p w14:paraId="0B34ABBF" w14:textId="4B755379" w:rsidR="00934EE0" w:rsidRPr="002B044E"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The section should capture the fac</w:t>
      </w:r>
      <w:r w:rsidRPr="002B044E">
        <w:rPr>
          <w:rFonts w:ascii="Times New Roman" w:hAnsi="Times New Roman" w:cs="Times New Roman"/>
          <w:sz w:val="24"/>
          <w:szCs w:val="24"/>
        </w:rPr>
        <w:t>tors to consider while choosing the IDM and who should be involved in the process of selecting them. Both the contractor and the owner should take part in selecting the IDM. They should guide them to select on the right person who can be flexible in making</w:t>
      </w:r>
      <w:r w:rsidRPr="002B044E">
        <w:rPr>
          <w:rFonts w:ascii="Times New Roman" w:hAnsi="Times New Roman" w:cs="Times New Roman"/>
          <w:sz w:val="24"/>
          <w:szCs w:val="24"/>
        </w:rPr>
        <w:t xml:space="preserve"> up corrections whenever he/she realizes that there is biasness or one party is unsatisfied.</w:t>
      </w:r>
    </w:p>
    <w:p w14:paraId="6F1032AE" w14:textId="61BE09AB" w:rsidR="005309F6" w:rsidRPr="002B044E"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The section should capture all the paying procedures to be followed in paying the IDM and how they are supposed to submit their claims.</w:t>
      </w:r>
      <w:r w:rsidR="00C03E0F" w:rsidRPr="002B044E">
        <w:rPr>
          <w:rFonts w:ascii="Times New Roman" w:hAnsi="Times New Roman" w:cs="Times New Roman"/>
          <w:sz w:val="24"/>
          <w:szCs w:val="24"/>
        </w:rPr>
        <w:t xml:space="preserve"> Under the </w:t>
      </w:r>
      <w:r w:rsidR="002B044E" w:rsidRPr="002B044E">
        <w:rPr>
          <w:rFonts w:ascii="Times New Roman" w:hAnsi="Times New Roman" w:cs="Times New Roman"/>
          <w:sz w:val="24"/>
          <w:szCs w:val="24"/>
        </w:rPr>
        <w:t>current</w:t>
      </w:r>
      <w:r w:rsidR="00C03E0F" w:rsidRPr="002B044E">
        <w:rPr>
          <w:rFonts w:ascii="Times New Roman" w:hAnsi="Times New Roman" w:cs="Times New Roman"/>
          <w:sz w:val="24"/>
          <w:szCs w:val="24"/>
        </w:rPr>
        <w:t xml:space="preserve"> revision of  AIA102, there are no proposals on who should be paying the IDM. Both parties should agree and split the cost equally to cater for decision-making expenses.</w:t>
      </w:r>
    </w:p>
    <w:p w14:paraId="5A86B3D7" w14:textId="29B8FB0D" w:rsidR="00796FB4" w:rsidRPr="002B044E"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Lastly, the section should include the importance of including the Decision-maker in the contrac</w:t>
      </w:r>
      <w:r w:rsidRPr="002B044E">
        <w:rPr>
          <w:rFonts w:ascii="Times New Roman" w:hAnsi="Times New Roman" w:cs="Times New Roman"/>
          <w:sz w:val="24"/>
          <w:szCs w:val="24"/>
        </w:rPr>
        <w:t xml:space="preserve">t. I expect to see comments such as, "IDM may help to reduce differences which might arise on the course of the project and might reduce the future expense to be used in settling disputes." This might act as the duties and </w:t>
      </w:r>
      <w:r w:rsidR="002B044E" w:rsidRPr="002B044E">
        <w:rPr>
          <w:rFonts w:ascii="Times New Roman" w:hAnsi="Times New Roman" w:cs="Times New Roman"/>
          <w:sz w:val="24"/>
          <w:szCs w:val="24"/>
        </w:rPr>
        <w:t>responsibilities</w:t>
      </w:r>
      <w:r w:rsidRPr="002B044E">
        <w:rPr>
          <w:rFonts w:ascii="Times New Roman" w:hAnsi="Times New Roman" w:cs="Times New Roman"/>
          <w:sz w:val="24"/>
          <w:szCs w:val="24"/>
        </w:rPr>
        <w:t xml:space="preserve"> of IDMs</w:t>
      </w:r>
      <w:r w:rsidR="00D92C6E" w:rsidRPr="002B044E">
        <w:rPr>
          <w:rFonts w:ascii="Times New Roman" w:hAnsi="Times New Roman" w:cs="Times New Roman"/>
          <w:sz w:val="24"/>
          <w:szCs w:val="24"/>
        </w:rPr>
        <w:t>.</w:t>
      </w:r>
    </w:p>
    <w:sectPr w:rsidR="00796FB4" w:rsidRPr="002B044E" w:rsidSect="00DE69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5FAC4" w14:textId="77777777" w:rsidR="000424D6" w:rsidRDefault="000424D6" w:rsidP="00DE6917">
      <w:pPr>
        <w:spacing w:after="0" w:line="240" w:lineRule="auto"/>
      </w:pPr>
      <w:r>
        <w:separator/>
      </w:r>
    </w:p>
  </w:endnote>
  <w:endnote w:type="continuationSeparator" w:id="0">
    <w:p w14:paraId="10876786" w14:textId="77777777" w:rsidR="000424D6" w:rsidRDefault="000424D6" w:rsidP="00DE6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D16C3" w14:textId="77777777" w:rsidR="000424D6" w:rsidRDefault="000424D6" w:rsidP="00DE6917">
      <w:pPr>
        <w:spacing w:after="0" w:line="240" w:lineRule="auto"/>
      </w:pPr>
      <w:r>
        <w:separator/>
      </w:r>
    </w:p>
  </w:footnote>
  <w:footnote w:type="continuationSeparator" w:id="0">
    <w:p w14:paraId="1E92D525" w14:textId="77777777" w:rsidR="000424D6" w:rsidRDefault="000424D6" w:rsidP="00DE6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1FF24" w14:textId="2695C13D" w:rsidR="00DE6917" w:rsidRDefault="00DE6917">
    <w:pPr>
      <w:pStyle w:val="Header"/>
      <w:jc w:val="right"/>
    </w:pPr>
    <w:r w:rsidRPr="00DE6917">
      <w:rPr>
        <w:rFonts w:ascii="Times New Roman" w:hAnsi="Times New Roman" w:cs="Times New Roman"/>
        <w:sz w:val="24"/>
        <w:szCs w:val="24"/>
      </w:rPr>
      <w:t>PROJECT REVIEW AIA A102</w:t>
    </w:r>
    <w:r>
      <w:t xml:space="preserve"> </w:t>
    </w:r>
    <w:r>
      <w:t xml:space="preserve">                                                                                                                          </w:t>
    </w:r>
    <w:sdt>
      <w:sdtPr>
        <w:id w:val="19943701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53F250" w14:textId="77777777" w:rsidR="00DE6917" w:rsidRDefault="00DE6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53F54" w14:textId="38C61F86" w:rsidR="00DE6917" w:rsidRDefault="00DE6917">
    <w:pPr>
      <w:pStyle w:val="Header"/>
      <w:jc w:val="right"/>
    </w:pPr>
    <w:r w:rsidRPr="00DE6917">
      <w:rPr>
        <w:rFonts w:ascii="Times New Roman" w:hAnsi="Times New Roman" w:cs="Times New Roman"/>
        <w:sz w:val="24"/>
        <w:szCs w:val="24"/>
      </w:rPr>
      <w:t>RUNNING HEAD: PROJECT REVIEW AIA A102</w:t>
    </w:r>
    <w:r>
      <w:t xml:space="preserve"> </w:t>
    </w:r>
    <w:sdt>
      <w:sdtPr>
        <w:id w:val="-115367771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030325E2" w14:textId="77777777" w:rsidR="00DE6917" w:rsidRDefault="00DE69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F5ED9"/>
    <w:multiLevelType w:val="hybridMultilevel"/>
    <w:tmpl w:val="FFA8924E"/>
    <w:lvl w:ilvl="0" w:tplc="D1DC6D8C">
      <w:start w:val="1"/>
      <w:numFmt w:val="bullet"/>
      <w:lvlText w:val=""/>
      <w:lvlJc w:val="left"/>
      <w:pPr>
        <w:ind w:left="1440" w:hanging="360"/>
      </w:pPr>
      <w:rPr>
        <w:rFonts w:ascii="Wingdings" w:hAnsi="Wingdings" w:hint="default"/>
      </w:rPr>
    </w:lvl>
    <w:lvl w:ilvl="1" w:tplc="1EDAD202" w:tentative="1">
      <w:start w:val="1"/>
      <w:numFmt w:val="bullet"/>
      <w:lvlText w:val="o"/>
      <w:lvlJc w:val="left"/>
      <w:pPr>
        <w:ind w:left="2160" w:hanging="360"/>
      </w:pPr>
      <w:rPr>
        <w:rFonts w:ascii="Courier New" w:hAnsi="Courier New" w:cs="Courier New" w:hint="default"/>
      </w:rPr>
    </w:lvl>
    <w:lvl w:ilvl="2" w:tplc="163A0B4E" w:tentative="1">
      <w:start w:val="1"/>
      <w:numFmt w:val="bullet"/>
      <w:lvlText w:val=""/>
      <w:lvlJc w:val="left"/>
      <w:pPr>
        <w:ind w:left="2880" w:hanging="360"/>
      </w:pPr>
      <w:rPr>
        <w:rFonts w:ascii="Wingdings" w:hAnsi="Wingdings" w:hint="default"/>
      </w:rPr>
    </w:lvl>
    <w:lvl w:ilvl="3" w:tplc="3460C066" w:tentative="1">
      <w:start w:val="1"/>
      <w:numFmt w:val="bullet"/>
      <w:lvlText w:val=""/>
      <w:lvlJc w:val="left"/>
      <w:pPr>
        <w:ind w:left="3600" w:hanging="360"/>
      </w:pPr>
      <w:rPr>
        <w:rFonts w:ascii="Symbol" w:hAnsi="Symbol" w:hint="default"/>
      </w:rPr>
    </w:lvl>
    <w:lvl w:ilvl="4" w:tplc="A9BE740E" w:tentative="1">
      <w:start w:val="1"/>
      <w:numFmt w:val="bullet"/>
      <w:lvlText w:val="o"/>
      <w:lvlJc w:val="left"/>
      <w:pPr>
        <w:ind w:left="4320" w:hanging="360"/>
      </w:pPr>
      <w:rPr>
        <w:rFonts w:ascii="Courier New" w:hAnsi="Courier New" w:cs="Courier New" w:hint="default"/>
      </w:rPr>
    </w:lvl>
    <w:lvl w:ilvl="5" w:tplc="CF4C266A" w:tentative="1">
      <w:start w:val="1"/>
      <w:numFmt w:val="bullet"/>
      <w:lvlText w:val=""/>
      <w:lvlJc w:val="left"/>
      <w:pPr>
        <w:ind w:left="5040" w:hanging="360"/>
      </w:pPr>
      <w:rPr>
        <w:rFonts w:ascii="Wingdings" w:hAnsi="Wingdings" w:hint="default"/>
      </w:rPr>
    </w:lvl>
    <w:lvl w:ilvl="6" w:tplc="023C39B4" w:tentative="1">
      <w:start w:val="1"/>
      <w:numFmt w:val="bullet"/>
      <w:lvlText w:val=""/>
      <w:lvlJc w:val="left"/>
      <w:pPr>
        <w:ind w:left="5760" w:hanging="360"/>
      </w:pPr>
      <w:rPr>
        <w:rFonts w:ascii="Symbol" w:hAnsi="Symbol" w:hint="default"/>
      </w:rPr>
    </w:lvl>
    <w:lvl w:ilvl="7" w:tplc="20F49090" w:tentative="1">
      <w:start w:val="1"/>
      <w:numFmt w:val="bullet"/>
      <w:lvlText w:val="o"/>
      <w:lvlJc w:val="left"/>
      <w:pPr>
        <w:ind w:left="6480" w:hanging="360"/>
      </w:pPr>
      <w:rPr>
        <w:rFonts w:ascii="Courier New" w:hAnsi="Courier New" w:cs="Courier New" w:hint="default"/>
      </w:rPr>
    </w:lvl>
    <w:lvl w:ilvl="8" w:tplc="664C0E8A"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3B"/>
    <w:rsid w:val="000424D6"/>
    <w:rsid w:val="002B044E"/>
    <w:rsid w:val="005309F6"/>
    <w:rsid w:val="00772090"/>
    <w:rsid w:val="00796FB4"/>
    <w:rsid w:val="0089693B"/>
    <w:rsid w:val="00934EE0"/>
    <w:rsid w:val="00C03E0F"/>
    <w:rsid w:val="00D92C6E"/>
    <w:rsid w:val="00DE6917"/>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AD69C"/>
  <w15:chartTrackingRefBased/>
  <w15:docId w15:val="{7A5B5273-B7CC-4252-B947-72305913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44E"/>
    <w:pPr>
      <w:ind w:left="720"/>
      <w:contextualSpacing/>
    </w:pPr>
  </w:style>
  <w:style w:type="paragraph" w:styleId="Header">
    <w:name w:val="header"/>
    <w:basedOn w:val="Normal"/>
    <w:link w:val="HeaderChar"/>
    <w:uiPriority w:val="99"/>
    <w:unhideWhenUsed/>
    <w:rsid w:val="00DE6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17"/>
  </w:style>
  <w:style w:type="paragraph" w:styleId="Footer">
    <w:name w:val="footer"/>
    <w:basedOn w:val="Normal"/>
    <w:link w:val="FooterChar"/>
    <w:uiPriority w:val="99"/>
    <w:unhideWhenUsed/>
    <w:rsid w:val="00DE6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Izzoh</cp:lastModifiedBy>
  <cp:revision>9</cp:revision>
  <dcterms:created xsi:type="dcterms:W3CDTF">2019-11-20T05:31:00Z</dcterms:created>
  <dcterms:modified xsi:type="dcterms:W3CDTF">2019-11-20T05:57:00Z</dcterms:modified>
</cp:coreProperties>
</file>